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VO-AUFHEBWSG_2015 (Brandenburg) — Inkrafttreten</w:t>
      </w:r>
    </w:p>
    <w:p>
      <w:r>
        <w:rPr>
          <w:color w:val="555555"/>
          <w:sz w:val="18"/>
        </w:rPr>
        <w:t xml:space="preserve">Fünfte Verordnung über die Aufhebung von Wasserschutzgebieten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Einzelnorm</w:t>
      </w:r>
    </w:p>
    <w:p>
      <w:r>
        <w:t xml:space="preserve">Potsdam, den 30. April 2015</w:t>
      </w:r>
    </w:p>
    <w:p>
      <w:r>
        <w:t xml:space="preserve">Der Minister für Ländliche Entwicklung,</w:t>
      </w:r>
    </w:p>
    <w:p>
      <w:r>
        <w:t xml:space="preserve">Umwelt und Landwirtschaft</w:t>
      </w:r>
    </w:p>
    <w:p>
      <w:r>
        <w:t xml:space="preserve">Jörg Vogelsänger</w:t>
      </w:r>
    </w:p>
    <w:p>
      <w:r>
        <w:rPr>
          <w:color w:val="555555"/>
          <w:sz w:val="17"/>
        </w:rPr>
        <w:t xml:space="preserve">Zitiervorschlag: § 2 VO-AUFHEBWSG_2015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https://recht.nulegal.eu/gesetze/VO-AUFHEBWSG_2015/2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