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VO-ARZNEIMITTELW (Brandenburg)</w:t>
      </w:r>
    </w:p>
    <w:p>
      <w:r>
        <w:rPr>
          <w:color w:val="555555"/>
          <w:sz w:val="18"/>
        </w:rPr>
        <w:t xml:space="preserve">Verordnung über die Zuständigkeiten im Arzneimittelwesen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Landesamt für Arbeitsschutz, Verbraucherschutz und Gesundheit ist zuständige Behörde für die Durchführung der Gesetze nach § 1 Absatz 1 Satz 1 Nummer 1 bis 5 , soweit es sich um Arzneimittel zur Anwendung bei Tieren handelt und nachfolgend nichts anderes bestimmt ist.</w:t>
      </w:r>
    </w:p>
    <w:p>
      <w:r>
        <w:t xml:space="preserve">(2) Die Landkreise und kreisfreien Städte sind zuständige Behörden im Sinne des Arzneimittelgesetzes sowie des Betäubungsmittelgesetzes; den Veterinär- und Lebensmittelüberwachungsämtern obliegt die arzneimittelrechtliche Überwachung</w:t>
      </w:r>
    </w:p>
    <w:p>
      <w:r>
        <w:t xml:space="preserve">der tierärztlichen Hausapotheken nach § 54 Abs. 2 Nr. 12 des Arzneimittelgesetzes sowie nach der Verordnung über tierärztliche Hausapotheken,</w:t>
      </w:r>
    </w:p>
    <w:p>
      <w:r>
        <w:t xml:space="preserve">der Tierärzte und tierärztlichen Hausapotheken sowie der Tierkliniken nach § 19 Abs. 1 des Betäubungsmittelgesetzes,</w:t>
      </w:r>
    </w:p>
    <w:p>
      <w:r>
        <w:t xml:space="preserve">der Tierärzte und Vermischer, die nach § 13 Abs. 2 Nr. 3 des Arzneimittelgesetzes keiner Erlaubnis bedürfen,</w:t>
      </w:r>
    </w:p>
    <w:p>
      <w:r>
        <w:t xml:space="preserve">der Tierhalter nach §§ 56 bis 60 des Arzneimittelgesetzes,</w:t>
      </w:r>
    </w:p>
    <w:p>
      <w:r>
        <w:t xml:space="preserve">der Personen, die Arzneimittel berufs- oder gewerbsmäßig bei Tieren anwenden, ohne Tierarzt zu sein (Verordnung über Arzneimittel, die zur Anwendung bei Tieren bestimmt sind).</w:t>
      </w:r>
    </w:p>
    <w:p>
      <w:r>
        <w:rPr>
          <w:color w:val="555555"/>
          <w:sz w:val="17"/>
        </w:rPr>
        <w:t xml:space="preserve">Zitiervorschlag: § 2 VO-ARZNEIMITTELW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https://recht.nulegal.eu/gesetze/VO-ARZNEIMITTELW/2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