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VO-ARBGTAG (Brandenburg)</w:t>
      </w:r>
    </w:p>
    <w:p>
      <w:r>
        <w:rPr>
          <w:color w:val="555555"/>
          <w:sz w:val="18"/>
        </w:rPr>
        <w:t xml:space="preserve">Verordnung über die Abhaltung von Gerichtstagen in der Arbeitsgerichtsbarkeit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1. Januar 2023 in Kraft.</w:t>
      </w:r>
    </w:p>
    <w:p>
      <w:r>
        <w:t xml:space="preserve">Einzelnorm</w:t>
      </w:r>
    </w:p>
    <w:p>
      <w:r>
        <w:t xml:space="preserve">Potsdam, den 18. Januar 2022</w:t>
      </w:r>
    </w:p>
    <w:p>
      <w:r>
        <w:t xml:space="preserve">Die Ministerin der Justiz</w:t>
      </w:r>
    </w:p>
    <w:p>
      <w:r>
        <w:t xml:space="preserve">Susanne Hoffmann</w:t>
      </w:r>
    </w:p>
    <w:p>
      <w:r>
        <w:rPr>
          <w:color w:val="555555"/>
          <w:sz w:val="17"/>
        </w:rPr>
        <w:t xml:space="preserve">Zitiervorschlag: § 2 VO-ARBGTAG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https://recht.nulegal.eu/gesetze/VO-ARBGTAG/2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