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VO-ABRAMKA (Brandenburg) — Ordnungswidrigkeiten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Naturschutzausführungs-gesetzes handelt, wer vorsätzlich oder fahrlässig den Verboten des § 4 zuwiderhandelt.</w:t>
      </w:r>
    </w:p>
    <w:p>
      <w:r>
        <w:t xml:space="preserve">(2) Ordnungswidrigkeiten nach Absatz 1 können gemäß § 40 des Brandenburgischen Naturschutzausführungs-gesetzes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6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