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VO-ABRAMKA (Brandenburg) — Schutzzweck</w:t>
      </w:r>
    </w:p>
    <w:p>
      <w:r>
        <w:rPr>
          <w:color w:val="555555"/>
          <w:sz w:val="18"/>
        </w:rPr>
        <w:t xml:space="preserve">Verordnung über das Naturschutzgebiet „Naturentwicklungsgebiet Abramka“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des Naturschutzgebietes ist es, die Funktion einer Kernzone innerhalb des „Biosphärenreservates Spreewald“ zu erfüllen. Es werden insbesondere naturnahe Erlenbruch- und Erlen-Eschen-Wälder auf Niedermoorstandorten der direkten menschlichen Einflussnahme entzogen und der natürlichen Entwicklung überlassen.</w:t>
      </w:r>
    </w:p>
    <w:p>
      <w:r>
        <w:rPr>
          <w:color w:val="555555"/>
          <w:sz w:val="17"/>
        </w:rPr>
        <w:t xml:space="preserve">Zitiervorschlag: § 3 VO-ABRAMKA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https://recht.nulegal.eu/gesetze/VO-ABRAMKA/3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