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 WbG (Nordrhein-Westfalen) — Geschäftsstelle, Geschäftsordnung</w:t>
      </w:r>
    </w:p>
    <w:p>
      <w:r>
        <w:rPr>
          <w:color w:val="555555"/>
          <w:sz w:val="18"/>
        </w:rPr>
        <w:t xml:space="preserve">Weiterbildungsverordnung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für Weiterbildung zuständige Ministerium führt die Geschäftsstelle des Landesweiterbildungsbeirats.</w:t>
      </w:r>
    </w:p>
    <w:p>
      <w:r>
        <w:t xml:space="preserve">(2) Der Landesweiterbildungsbeirat gibt sich eine Geschäftsordnung, die der Genehmigung des für Weiterbildung zuständigen Ministeriums bedarf.</w:t>
      </w:r>
    </w:p>
    <w:p>
      <w:r>
        <w:rPr>
          <w:color w:val="555555"/>
          <w:sz w:val="17"/>
        </w:rPr>
        <w:t xml:space="preserve">Zitiervorschlag: § 9 VO WbG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https://recht.nulegal.eu/gesetze/VO%20WbG/9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