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 WbG (Nordrhein-Westfalen) — Berufung der Mitglieder und der weiteren Vertretungen</w:t>
      </w:r>
    </w:p>
    <w:p>
      <w:r>
        <w:rPr>
          <w:color w:val="555555"/>
          <w:sz w:val="18"/>
        </w:rPr>
        <w:t xml:space="preserve">Weiterbildungsverordnung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Landesweiterbildungsbeirats und ihre Stellvertreterinnen und Stellvertreter werden auf Vorschlag der in § 6 Absatz 1 Satz 2 Nummer 2 bis 8 genannten Organisationen vom für Weiterbildung zuständigen Ministerium berufen. Das für Weiterbildung zuständige Ministerium fordert die genannten Organisationen zur Abgabe entsprechender Vorschläge auf. Die Berufung der Mitglieder nach § 6 Absatz 1 Satz 2 Nummer 1 und 9 nimmt das für Weiterbildung zuständige Ministerium eigenständig vor.</w:t>
      </w:r>
    </w:p>
    <w:p>
      <w:r>
        <w:t xml:space="preserve">(2) Die Vertretungen nach § 6 Absatz 2 werden auf Vorschlag der genannten Stellen vom für Weiterbildung zuständigen Ministerium berufen.</w:t>
      </w:r>
    </w:p>
    <w:p>
      <w:r>
        <w:rPr>
          <w:color w:val="555555"/>
          <w:sz w:val="17"/>
        </w:rPr>
        <w:t xml:space="preserve">Zitiervorschlag: § 7 VO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https://recht.nulegal.eu/gesetze/VO%20WbG/7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