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VO WbG (Nordrhein-Westfalen) — Inkrafttreten</w:t>
      </w:r>
    </w:p>
    <w:p>
      <w:r>
        <w:rPr>
          <w:color w:val="555555"/>
          <w:sz w:val="18"/>
        </w:rPr>
        <w:t xml:space="preserve">Weiterbildungsverordnung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Ministerin für Kultur und Wissenschaft</w:t>
      </w:r>
    </w:p>
    <w:p>
      <w:r>
        <w:rPr>
          <w:color w:val="555555"/>
          <w:sz w:val="17"/>
        </w:rPr>
        <w:t xml:space="preserve">Zitiervorschlag: § 12 VO WbG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https://recht.nulegal.eu/gesetze/VO%20WbG/12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