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VKVV — Wechsel der Kontoführung</w:t>
      </w:r>
    </w:p>
    <w:p>
      <w:r>
        <w:rPr>
          <w:color w:val="555555"/>
          <w:sz w:val="18"/>
        </w:rPr>
        <w:t xml:space="preserve">Versicherungsnummern-, Kontoführungs- und Versicherungsverlaufsverordnung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einem Wechsel der Kontoführung erfolgt der Austausch des Inhalts des Versicherungskontos über die Datenstelle. Auf Anforderung sind die Versicherungsunterlagen zu übersenden.</w:t>
      </w:r>
    </w:p>
    <w:p>
      <w:r>
        <w:t xml:space="preserve">(2) Stellt die Datenstelle der Rentenversicherung bei der Annahme von Meldungen fest, dass die Voraussetzungen für einen Wechsel der Kontoführung vorliegen, ist der neu zuständige Rentenversicherungsträger zur Übernahme des Versicherungskontos aufzufordern.</w:t>
      </w:r>
    </w:p>
    <w:p>
      <w:r>
        <w:rPr>
          <w:color w:val="555555"/>
          <w:sz w:val="17"/>
        </w:rPr>
        <w:t xml:space="preserve">Zitiervorschlag: § 6 VKVV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