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VKFV — Personalnebenkosten</w:t>
      </w:r>
    </w:p>
    <w:p>
      <w:r>
        <w:rPr>
          <w:color w:val="555555"/>
          <w:sz w:val="18"/>
        </w:rPr>
        <w:t xml:space="preserve">Verwaltungskostenfeststellungsverordnung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Personalnebenkosten sind die über die Personalkosten hinausgehenden Aufwendungen für aktive Beamtinnen und Beamte sowie für Arbeitnehmerinnen und Arbeitnehmer, insbesondere für</w:t>
      </w:r>
    </w:p>
    <w:p>
      <w:pPr>
        <w:ind w:left="420"/>
      </w:pPr>
      <w:r>
        <w:t xml:space="preserve">1. die Beihilfen und Beihilfeumlagen,</w:t>
      </w:r>
    </w:p>
    <w:p>
      <w:pPr>
        <w:ind w:left="420"/>
      </w:pPr>
      <w:r>
        <w:t xml:space="preserve">2. die Fürsorgeleistungen,</w:t>
      </w:r>
    </w:p>
    <w:p>
      <w:pPr>
        <w:ind w:left="420"/>
      </w:pPr>
      <w:r>
        <w:t xml:space="preserve">3. die Unterstützungen,</w:t>
      </w:r>
    </w:p>
    <w:p>
      <w:pPr>
        <w:ind w:left="420"/>
      </w:pPr>
      <w:r>
        <w:t xml:space="preserve">4. die Beiträge zu Unfallkassen,</w:t>
      </w:r>
    </w:p>
    <w:p>
      <w:pPr>
        <w:ind w:left="420"/>
      </w:pPr>
      <w:r>
        <w:t xml:space="preserve">5. das Trennungsgeld,</w:t>
      </w:r>
    </w:p>
    <w:p>
      <w:pPr>
        <w:ind w:left="420"/>
      </w:pPr>
      <w:r>
        <w:t xml:space="preserve">6. die Fahrkostenzuschüsse sowie</w:t>
      </w:r>
    </w:p>
    <w:p>
      <w:pPr>
        <w:ind w:left="420"/>
      </w:pPr>
      <w:r>
        <w:t xml:space="preserve">7. die Umzugskostenvergütungen.</w:t>
      </w:r>
    </w:p>
    <w:p>
      <w:r>
        <w:rPr>
          <w:color w:val="555555"/>
          <w:sz w:val="17"/>
        </w:rPr>
        <w:t xml:space="preserve">Zitiervorschlag: § 6 VKFV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https://recht.nulegal.eu/gesetze/VKFV/6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