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VKFV — Personalkosten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Personalkosten sind die Aufwendungen für Bezüge der Beamtinnen und Beamten sowie Arbeitnehmerinnen und Arbeitnehmer, denen Tätigkeiten in den gemeinsamen Einrichtungen zugewiesen sind.</w:t>
      </w:r>
    </w:p>
    <w:p>
      <w:r>
        <w:t xml:space="preserve">(2) Bezüge sind alle nach besoldungsrechtlichen und tarifvertraglichen sowie vergleichbaren außertariflichen Regelungen laufend gezahlten Besoldungen und Entgelte an Beamtinnen und Beamte sowie Arbeitnehmerinnen und Arbeitnehmer. Dazu gehören insbesondere:</w:t>
      </w:r>
    </w:p>
    <w:p>
      <w:pPr>
        <w:ind w:left="420"/>
      </w:pPr>
      <w:r>
        <w:t xml:space="preserve">1. das Grundgehalt,</w:t>
      </w:r>
    </w:p>
    <w:p>
      <w:pPr>
        <w:ind w:left="420"/>
      </w:pPr>
      <w:r>
        <w:t xml:space="preserve">2. der Familienzuschlag,</w:t>
      </w:r>
    </w:p>
    <w:p>
      <w:pPr>
        <w:ind w:left="420"/>
      </w:pPr>
      <w:r>
        <w:t xml:space="preserve">3. die Zulagen und Sonderzahlungen,</w:t>
      </w:r>
    </w:p>
    <w:p>
      <w:pPr>
        <w:ind w:left="420"/>
      </w:pPr>
      <w:r>
        <w:t xml:space="preserve">4. die Vergütungen,</w:t>
      </w:r>
    </w:p>
    <w:p>
      <w:pPr>
        <w:ind w:left="420"/>
      </w:pPr>
      <w:r>
        <w:t xml:space="preserve">5. die vermögenswirksamen Leistungen,</w:t>
      </w:r>
    </w:p>
    <w:p>
      <w:pPr>
        <w:ind w:left="420"/>
      </w:pPr>
      <w:r>
        <w:t xml:space="preserve">6. die leistungsorientierte Bezahlung sowie</w:t>
      </w:r>
    </w:p>
    <w:p>
      <w:pPr>
        <w:ind w:left="420"/>
      </w:pPr>
      <w:r>
        <w:t xml:space="preserve">7. die Arbeitgeberanteile zur Sozialversicherung und Zusatzversorgung.</w:t>
      </w:r>
    </w:p>
    <w:p>
      <w:r>
        <w:rPr>
          <w:color w:val="555555"/>
          <w:sz w:val="17"/>
        </w:rPr>
        <w:t xml:space="preserve">Zitiervorschlag: § 5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