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VKFV — Bestimmung der Kosten für Nachwuchskräfte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Kosten der Nachwuchskräfte nach § 8a wird ein Zuschlag von bis zu 0,5 Prozent der nach § 14 vom jeweiligen Träger bestimmten und um die Arbeitgeberanteile zur Sozialversicherung und Zusatzversorgung nach § 5 Absatz 2 Satz 2 Nummer 7 geminderten Personalkosten anerkannt.</w:t>
      </w:r>
    </w:p>
    <w:p>
      <w:r>
        <w:t xml:space="preserve">(2) Übersteigen die bei einem Träger tatsächlich anfallenden Personal- und Personalnebenkosten der Nachwuchskräfte während ihrer Einsatzzeit in der Grundsicherung für Arbeitsuchende den nach Absatz 1 ermittelten Betrag, können diese mit Beschluss der Trägerversammlung für die Zukunft anerkannt werden. Dieser Träger hat die Kosten nach Satz 1 mindestens einmal jährlich nachzuweisen.</w:t>
      </w:r>
    </w:p>
    <w:p>
      <w:r>
        <w:rPr>
          <w:color w:val="555555"/>
          <w:sz w:val="17"/>
        </w:rPr>
        <w:t xml:space="preserve">Zitiervorschlag: § 17a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