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VKFV — Grundsätze zur Bestimmung der Gesamtverwaltungskosten</w:t>
      </w:r>
    </w:p>
    <w:p>
      <w:r>
        <w:rPr>
          <w:color w:val="555555"/>
          <w:sz w:val="18"/>
        </w:rPr>
        <w:t xml:space="preserve">Verwaltungskostenfeststellungsverordnung</w:t>
      </w:r>
    </w:p>
    <w:p>
      <w:r>
        <w:rPr>
          <w:color w:val="555555"/>
          <w:sz w:val="18"/>
        </w:rPr>
        <w:t xml:space="preserve">Stand: 10.06.2019 (konsolidierte Textfassung, kein amtliches Inkrafttretensdatum)</w:t>
      </w:r>
    </w:p>
    <w:p>
      <w:r>
        <w:t xml:space="preserve">(1) Die Bestimmung der Gesamtverwaltungskosten nach § 2 erfolgt unter Berücksichtigung der Grundsätze der Wirtschaftlichkeit und Sparsamkeit grundsätzlich auf der Grundlage der tatsächlich entstandenen Kosten. Staatliche Zuschüsse und sonstige Einnahmen oder Vergünstigungen, die die finanzielle Belastung beim Träger verringern, sind bei der Bestimmung der Gesamtverwaltungskosten ausgabemindernd zu berücksichtigen. Versorgungsaufwendungen nach § 7, Kosten der Personalverwaltung nach § 8, Kosten der Nachwuchskräfte nach § 8a und Kosten der zentral verwalteten Verfahren der Informationstechnik nach § 12 werden auf der Grundlage von Pauschalen bestimmt.</w:t>
      </w:r>
    </w:p>
    <w:p>
      <w:r>
        <w:t xml:space="preserve">(2) Zur Bestimmung der Gesamtverwaltungskosten prüft die gemeinsame Einrichtung die geltend gemachten Aufwendungen. Diese sollen durch prüffähige Unterlagen bis zum 20. des auf den abgerechneten Monat folgenden Monats nachgewiesen werden.</w:t>
      </w:r>
    </w:p>
    <w:p>
      <w:r>
        <w:rPr>
          <w:color w:val="555555"/>
          <w:sz w:val="17"/>
        </w:rPr>
        <w:t xml:space="preserve">Zitiervorschlag: § 13 VKFV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