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VKFV — Leistungen Dritter</w:t>
      </w:r>
    </w:p>
    <w:p>
      <w:r>
        <w:rPr>
          <w:color w:val="555555"/>
          <w:sz w:val="18"/>
        </w:rPr>
        <w:t xml:space="preserve">Verwaltungskostenfeststellungsverordnung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Leistungen Dritter sind</w:t>
      </w:r>
    </w:p>
    <w:p>
      <w:pPr>
        <w:ind w:left="420"/>
      </w:pPr>
      <w:r>
        <w:t xml:space="preserve">1. die Wahrnehmung von Aufgaben der gemeinsamen Einrichtung durch die Träger nach § 44b Absatz 4 des Zweiten Buches Sozialgesetzbuch oder</w:t>
      </w:r>
    </w:p>
    <w:p>
      <w:pPr>
        <w:ind w:left="420"/>
      </w:pPr>
      <w:r>
        <w:t xml:space="preserve">2. die Erbringung von Dienstleistungen für die gemeinsame Einrichtung durch die Träger oder sonstige Auftragnehmer.</w:t>
      </w:r>
    </w:p>
    <w:p>
      <w:r>
        <w:rPr>
          <w:color w:val="555555"/>
          <w:sz w:val="17"/>
        </w:rPr>
        <w:t xml:space="preserve">Zitiervorschlag: § 11 VKFV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https://recht.nulegal.eu/gesetze/VKFV/11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