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VKAbgG — Entschädigung</w:t>
      </w:r>
    </w:p>
    <w:p>
      <w:r>
        <w:rPr>
          <w:color w:val="555555"/>
          <w:sz w:val="18"/>
        </w:rPr>
        <w:t xml:space="preserve">Gesetz über Rechtsverhältnisse der Abgeordneten der Volkskammer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Abgeordneter der Volkskammer erhält eine monatliche Entschädigung von 3.600 M.</w:t>
      </w:r>
    </w:p>
    <w:p>
      <w:r>
        <w:t xml:space="preserve">(2) Der Präsident der Volkskammer erhält monatlich eine Amtszulage von 3.600 M, seine Stellvertreter erhalten eine monatliche Amtszulage von 1.800 M.</w:t>
      </w:r>
    </w:p>
    <w:p>
      <w:r>
        <w:t xml:space="preserve">(3) Die Entschädigung der Abgeordneten und die Amtszulage des Präsidenten sowie der Stellvertreter werden besteuert.</w:t>
      </w:r>
    </w:p>
    <w:p>
      <w:r>
        <w:rPr>
          <w:color w:val="555555"/>
          <w:sz w:val="17"/>
        </w:rPr>
        <w:t xml:space="preserve">Zitiervorschlag: § 4 VKAbgG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https://recht.nulegal.eu/gesetze/VKAbgG/4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