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VKAbgG — Anrechnung</w:t>
      </w:r>
    </w:p>
    <w:p>
      <w:r>
        <w:rPr>
          <w:color w:val="555555"/>
          <w:sz w:val="18"/>
        </w:rPr>
        <w:t xml:space="preserve">Gesetz über Rechtsverhältnisse der Abgeordneten der Volkskammer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 Mitglied der Volkskammer neben der Entschädigung nach § 4 Einkommen aus einer Tätigkeit als Mitglied des Ministerrates/Staatssekretär, so wird die Entschädigung nach § 4 um 50 v.H. gekürzt. Der Kürzungsbetrag darf jedoch 50 v.H. des Einkommens nicht übersteigen.</w:t>
      </w:r>
    </w:p>
    <w:p>
      <w:r>
        <w:t xml:space="preserve">(2) Renten aus der Sozialpflichtversicherung der Arbeiter und Angestellten und freiwilligen zusätzlichen Altersversorgung werden neben der Entschädigung nach § 4 nur zu Hälfte gezahlt.</w:t>
      </w:r>
    </w:p>
    <w:p>
      <w:r>
        <w:rPr>
          <w:color w:val="555555"/>
          <w:sz w:val="17"/>
        </w:rPr>
        <w:t xml:space="preserve">Zitiervorschlag: § 10 VKAbgG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https://recht.nulegal.eu/gesetze/VKAbgG/10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