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VInsoFV (Brandenburg) — Art, Umfang und Höhe der Finanzierung</w:t>
      </w:r>
    </w:p>
    <w:p>
      <w:r>
        <w:rPr>
          <w:color w:val="555555"/>
          <w:sz w:val="18"/>
        </w:rPr>
        <w:t xml:space="preserve">Verbraucherinsolvenzfinanzierungsverordnung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Eine als geeignet im Sinne des § 3 des Brandenburgischen Gesetzes zur Ausführung der Insolvenzordnung anerkannte Stelle erhält für die in Absatz 2 genannten Tätigkeiten im Rahmen einer außergerichtlichen Schuldenbereinigung gemäß § 305 Absatz 1 Nummer 1 der Insolvenzordnung auf schriftlichen oder elektronischen Antrag eine Fallpauschale, wenn</w:t>
      </w:r>
    </w:p>
    <w:p>
      <w:r>
        <w:t xml:space="preserve">bei der Schuldnerin oder dem Schuldner die Voraussetzungen der §§ 17 oder 18 der Insolvenzordnung vorliegen,</w:t>
      </w:r>
    </w:p>
    <w:p>
      <w:r>
        <w:t xml:space="preserve">die Schuldnerin oder der Schuldner Beratungshilfe nach den Vorschriften des Beratungshilfegesetzes nicht in Anspruch genommen und auch nicht beantragt hat,</w:t>
      </w:r>
    </w:p>
    <w:p>
      <w:r>
        <w:t xml:space="preserve">die Tätigkeit der Stelle abgeschlossen ist,</w:t>
      </w:r>
    </w:p>
    <w:p>
      <w:r>
        <w:t xml:space="preserve">die Schuldnerin oder der Schuldner eine Vergütung in entsprechender Höhe nicht gezahlt und sich auch nicht zur Zahlung einer solchen verpflichtet hat und</w:t>
      </w:r>
    </w:p>
    <w:p>
      <w:r>
        <w:t xml:space="preserve">die Schuldnerin oder der Schuldner ihren oder seinen Hauptwohnsitz im Land Brandenburg hat.</w:t>
      </w:r>
    </w:p>
    <w:p>
      <w:r>
        <w:t xml:space="preserve">(2) Die Höhe der Fallpauschale beträgt für</w:t>
      </w:r>
    </w:p>
    <w:p>
      <w:r>
        <w:t xml:space="preserve">den Versuch einer außergerichtlichen Einigung mit den Gläubigerinnen oder Gläubigern über die Schuldenbereinigung auf der Grundlage eines Plans und die Ausstellung einer Bescheinigung im Sinne des § 305 Absatz 1 Nummer 1 der Insolvenzordnung bei:</w:t>
      </w:r>
    </w:p>
    <w:p>
      <w:r>
        <w:t xml:space="preserve">bis zu fünf Gläubigerinnen oder Gläubigern 267 Euro,</w:t>
      </w:r>
    </w:p>
    <w:p>
      <w:r>
        <w:t xml:space="preserve">sechs bis zehn Gläubigerinnen oder Gläubigern 402 Euro,</w:t>
      </w:r>
    </w:p>
    <w:p>
      <w:r>
        <w:t xml:space="preserve">elf bis 15 Gläubigerinnen oder Gläubigern 535 Euro,</w:t>
      </w:r>
    </w:p>
    <w:p>
      <w:r>
        <w:t xml:space="preserve">16 und mehr Gläubigerinnen oder Gläubigern 669 Euro;</w:t>
      </w:r>
    </w:p>
    <w:p>
      <w:r>
        <w:t xml:space="preserve">das Zustandekommen einer außergerichtlichen Einigung mit den Gläubigerinnen oder Gläubigern über die Schuldenbereinigung auf der Grundlage eines Plans im Sinne des § 305 Absatz 1 Nummer 1 der Insolvenzordnung bei:</w:t>
      </w:r>
    </w:p>
    <w:p>
      <w:r>
        <w:t xml:space="preserve">bis zu fünf Gläubigerinnen oder Gläubigern 416 Euro,</w:t>
      </w:r>
    </w:p>
    <w:p>
      <w:r>
        <w:t xml:space="preserve">sechs bis zehn Gläubigerinnen oder Gläubigern 550 Euro,</w:t>
      </w:r>
    </w:p>
    <w:p>
      <w:r>
        <w:t xml:space="preserve">elf bis 15 Gläubigerinnen oder Gläubigern 683 Euro,</w:t>
      </w:r>
    </w:p>
    <w:p>
      <w:r>
        <w:t xml:space="preserve">16 und mehr Gläubigerinnen oder Gläubigern 817 Euro.</w:t>
      </w:r>
    </w:p>
    <w:p>
      <w:r>
        <w:t xml:space="preserve">Maßgeblich für die Höhe der Fallpauschale ist grundsätzlich die Anzahl der Gläubigerinnen oder Gläubiger zum Zeitpunkt des Ausstellens der Bescheinigung nach Satz 1 Nummer 1 oder des Zustandekommens der außergerichtlichen Einigung nach Satz 1 Nummer 2.</w:t>
      </w:r>
    </w:p>
    <w:p>
      <w:r>
        <w:t xml:space="preserve">(3) Beträge, die die Schuldnerin oder der Schuldner für die in Absatz 2 genannten Tätigkeiten bereits an die Beratungsstelle gezahlt hat, werden auf die Fallpauschale angerechnet. Das Gleiche gilt für Beträge, zu deren Zahlung sich die Schuldnerin oder der Schuldner verpflichtet hat.</w:t>
      </w:r>
    </w:p>
    <w:p>
      <w:r>
        <w:rPr>
          <w:color w:val="555555"/>
          <w:sz w:val="17"/>
        </w:rPr>
        <w:t xml:space="preserve">Zitiervorschlag: § 1 VInsoFV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https://recht.nulegal.eu/gesetze/VInsoFV/1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