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VISZG — Datenschutzkontrolle</w:t>
      </w:r>
    </w:p>
    <w:p>
      <w:r>
        <w:rPr>
          <w:color w:val="555555"/>
          <w:sz w:val="18"/>
        </w:rPr>
        <w:t xml:space="preserve">VIS-Zugangsgesetz</w:t>
      </w:r>
    </w:p>
    <w:p>
      <w:r>
        <w:rPr>
          <w:color w:val="555555"/>
          <w:sz w:val="18"/>
        </w:rPr>
        <w:t xml:space="preserve">Stand: 02.12.2019 (konsolidierte Textfassung, kein amtliches Inkrafttretensdatum)</w:t>
      </w:r>
    </w:p>
    <w:p>
      <w:r>
        <w:t xml:space="preserve">Die Kontrolle der Einhaltung der datenschutzrechtlichen Bestimmungen obliegt nach § 9 des Bundesdatenschutzgesetzes dem Bundesbeauftragten für den Datenschutz und die Informationsfreiheit. Die datenschutzrechtliche Kontrolle der Verarbeitung von Daten durch eine Landesbehörde richtet sich nach dem Datenschutzgesetz des Landes.</w:t>
      </w:r>
    </w:p>
    <w:p>
      <w:r>
        <w:rPr>
          <w:color w:val="555555"/>
          <w:sz w:val="17"/>
        </w:rPr>
        <w:t xml:space="preserve">Zitiervorschlag: § 4 VISZG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https://recht.nulegal.eu/gesetze/VISZG/4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