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VISZG — Zugangsberechtigte Behörden und zentrale Zugangsstellen</w:t>
      </w:r>
    </w:p>
    <w:p>
      <w:r>
        <w:rPr>
          <w:color w:val="555555"/>
          <w:sz w:val="18"/>
        </w:rPr>
        <w:t xml:space="preserve">VIS-Zugangsgesetz</w:t>
      </w:r>
    </w:p>
    <w:p>
      <w:r>
        <w:rPr>
          <w:color w:val="555555"/>
          <w:sz w:val="18"/>
        </w:rPr>
        <w:t xml:space="preserve">Stand: 01.07.2020 (konsolidierte Textfassung, kein amtliches Inkrafttretensdatum)</w:t>
      </w:r>
    </w:p>
    <w:p>
      <w:r>
        <w:t xml:space="preserve">(1) Der Bund und die Länder bestimmen die Polizeibehörden, Strafverfolgungsbehörden und Nachrichtendienste, die zum Zwecke der Verhütung, Aufdeckung und Ermittlung von terroristischen Straftaten oder sonstigen schwerwiegenden Straftaten zum Zugang zum Visa-Informationssystem berechtigt sind.</w:t>
      </w:r>
    </w:p>
    <w:p>
      <w:r>
        <w:t xml:space="preserve">(2) Zentrale Zugangsstellen können beim Bund und bei den Ländern eingerichtet werden.</w:t>
      </w:r>
    </w:p>
    <w:p>
      <w:r>
        <w:t xml:space="preserve">(3) Das Bundesministerium des Innern, für Bau und Heimat erstellt in Abstimmung mit den Ländern eine Liste der zentralen Zugangsstellen, eine Liste der zugangsberechtigten Behörden sowie eine Liste der Organisationseinheiten, die innerhalb der zugangsberechtigten Behörden zum Zugang zum Visa-Informationssystem ermächtigt sind. Die Länder teilen die erforderlichen Angaben sowie jede nachträgliche Änderung dem Bundesministerium des Innern, für Bau und Heimat mit. Das Bundesministerium des Innern, für Bau und Heimat übermittelt die Listen der zugangsberechtigten Behörden und der zentralen Zugangsstellen sowie jede nachträgliche Änderung an die Europäische Kommission und das Generalsekretariat des Rates der Europäischen Union.</w:t>
      </w:r>
    </w:p>
    <w:p>
      <w:r>
        <w:rPr>
          <w:color w:val="555555"/>
          <w:sz w:val="17"/>
        </w:rPr>
        <w:t xml:space="preserve">Zitiervorschlag: § 2 VISZG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https://recht.nulegal.eu/gesetze/VISZG/2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