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VIGGebV 2012</w:t>
      </w:r>
    </w:p>
    <w:p>
      <w:r>
        <w:rPr>
          <w:color w:val="555555"/>
          <w:sz w:val="18"/>
        </w:rPr>
        <w:t xml:space="preserve">Verbraucherinformationsgebührenverordnung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Absatz 3 Satz 1 des Verbraucherinformationsgesetzes in der Fassung der Bekanntmachung vom 17. Oktober 2012 (BGBl. I S. 2166) in Verbindung mit dem 2. Abschnitt des Verwaltungskostengesetzes vom 23. Juni 1970 (BGBl. I S. 821) verordnet die Bundesregierung:</w:t>
      </w:r>
    </w:p>
    <w:p>
      <w:r>
        <w:rPr>
          <w:color w:val="555555"/>
          <w:sz w:val="17"/>
        </w:rPr>
        <w:t xml:space="preserve">Zitiervorschlag: Eingangsformel VIGGebV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https://recht.nulegal.eu/gesetze/VIGGebV%202012/eingangsformel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