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VIGGebV 2012 — Inkrafttreten, Außerkrafttreten</w:t>
      </w:r>
    </w:p>
    <w:p>
      <w:r>
        <w:rPr>
          <w:color w:val="555555"/>
          <w:sz w:val="18"/>
        </w:rPr>
        <w:t xml:space="preserve">Verbraucherinformationsgebührenverordnung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Verbraucherinformationsgebührenverordnung vom 24. April 2008 (BGBl. I S. 762) außer Kraft.</w:t>
      </w:r>
    </w:p>
    <w:p>
      <w:r>
        <w:rPr>
          <w:color w:val="555555"/>
          <w:sz w:val="17"/>
        </w:rPr>
        <w:t xml:space="preserve">Zitiervorschlag: § 4 VIGGebV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https://recht.nulegal.eu/gesetze/VIGGebV%202012/4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