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VIGGebV 2012 — Gebührenbemessung</w:t>
      </w:r>
    </w:p>
    <w:p>
      <w:r>
        <w:rPr>
          <w:color w:val="555555"/>
          <w:sz w:val="18"/>
        </w:rPr>
        <w:t xml:space="preserve">Verbraucherinformationsgebührenverordnung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Gebühren bestimmen sich nach dem mit der Informationsgewährung verbundenen Personal- und Sachaufwand. Dieser beläuft sich auf 41 bis 67 Euro je aufgewendeter Stunde Arbeitszeit.</w:t>
      </w:r>
    </w:p>
    <w:p>
      <w:r>
        <w:rPr>
          <w:color w:val="555555"/>
          <w:sz w:val="17"/>
        </w:rPr>
        <w:t xml:space="preserve">Zitiervorschlag: § 2 VIGGebV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https://recht.nulegal.eu/gesetze/VIGGebV%202012/2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