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VIG — Anwendungsbereich</w:t>
      </w:r>
    </w:p>
    <w:p>
      <w:r>
        <w:rPr>
          <w:color w:val="555555"/>
          <w:sz w:val="18"/>
        </w:rPr>
        <w:t xml:space="preserve">Verbraucherinformationsgesetz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Durch dieses Gesetz erhalten Verbraucherinnen und Verbraucher freien Zugang zu den bei informationspflichtigen Stellen vorliegenden Informationen über</w:t>
      </w:r>
    </w:p>
    <w:p>
      <w:pPr>
        <w:ind w:left="420"/>
      </w:pPr>
      <w:r>
        <w:t xml:space="preserve">1. Erzeugnisse im Sinne des Lebensmittel- und Futtermittelgesetzbuches (Erzeugnisse) sowie</w:t>
      </w:r>
    </w:p>
    <w:p>
      <w:pPr>
        <w:ind w:left="420"/>
      </w:pPr>
      <w:r>
        <w:t xml:space="preserve">2. Produkte, die dem Artikel 3 Nummer 1 der Verordnung (EU) 2023/988 unterfallen (Produkte).</w:t>
      </w:r>
    </w:p>
    <w:p>
      <w:r>
        <w:rPr>
          <w:color w:val="555555"/>
          <w:sz w:val="17"/>
        </w:rPr>
        <w:t xml:space="preserve">Zitiervorschlag: § 1 VIG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https://recht.nulegal.eu/gesetze/VIG/1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