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VIFGG — Gegenstand der Gesellschaft</w:t>
      </w:r>
    </w:p>
    <w:p>
      <w:r>
        <w:rPr>
          <w:color w:val="555555"/>
          <w:sz w:val="18"/>
        </w:rPr>
        <w:t xml:space="preserve">Verkehrsinfrastrukturfinanzierungsgesellschaftsgesetz</w:t>
      </w:r>
    </w:p>
    <w:p>
      <w:r>
        <w:rPr>
          <w:color w:val="555555"/>
          <w:sz w:val="18"/>
        </w:rPr>
        <w:t xml:space="preserve">Historische Fassung: Stand 10.06.2019 bis 14.09.2019. Dies ist nicht die aktuelle Fassung.</w:t>
      </w:r>
    </w:p>
    <w:p>
      <w:r>
        <w:t xml:space="preserve">(1) Die Gesellschaft verteilt Mittel aus:</w:t>
      </w:r>
    </w:p>
    <w:p>
      <w:pPr>
        <w:ind w:left="420"/>
      </w:pPr>
      <w:r>
        <w:t xml:space="preserve">1. dem Gebührenaufkommen nach dem Bundesfernstraßenmautgesetz vom 12. Juli 2011 (BGBl. I S. 1378) in der jeweils geltenden Fassung,</w:t>
      </w:r>
    </w:p>
    <w:p>
      <w:pPr>
        <w:ind w:left="420"/>
      </w:pPr>
      <w:r>
        <w:t xml:space="preserve">2. den der deutschen Verfügung unterliegenden Schifffahrtsabgaben der abgabenpflichtigen Bundeswasserstraßen,</w:t>
      </w:r>
    </w:p>
    <w:p>
      <w:r>
        <w:t xml:space="preserve">die ihr jeweils vom Bund zur Verfügung gestellt werden, nach Maßgabe der jährlichen Haushaltsgesetze und nach den Weisungen des Bundesministeriums für Verkehr und digitale Infrastruktur zur Finanzierung der in § 1 Abs. 1 genannten Vorhaben. Die Gesellschaft ist nicht berechtigt, Anleihen und Kredite aufzunehmen, Bürgschaften, Garantien oder ähnliche Haftungen zu übernehmen oder Kredite zu gewähren.</w:t>
      </w:r>
    </w:p>
    <w:p>
      <w:r>
        <w:t xml:space="preserve">(2) Darüber hinaus verteilt die Gesellschaft</w:t>
      </w:r>
    </w:p>
    <w:p>
      <w:pPr>
        <w:ind w:left="420"/>
      </w:pPr>
      <w:r>
        <w:t xml:space="preserve">1. die im Bundeshaushalt veranschlagten Mittel für Neubau, Ausbau, Erhaltung, Betrieb und Unterhaltung der in der Baulast des Bundes stehenden Bundesfernstraßen,</w:t>
      </w:r>
    </w:p>
    <w:p>
      <w:pPr>
        <w:ind w:left="420"/>
      </w:pPr>
      <w:r>
        <w:t xml:space="preserve">2. weitere im Bundeshaushalt veranschlagte Mittel für Neubau, Ausbau, Erhaltung, Betrieb und Unterhaltung von Bundesfernstraßen, soweit diese nicht in Nummer 1 oder Absatz 1 Satz 1 bezeichnet sind,</w:t>
      </w:r>
    </w:p>
    <w:p>
      <w:r>
        <w:t xml:space="preserve">die ihr vom Bund zur Verfügung gestellt werden, nach Maßgabe der jährlichen Haushaltsgesetze und nach den Weisungen des Bundesministeriums für Verkehr und digitale Infrastruktur.</w:t>
      </w:r>
    </w:p>
    <w:p>
      <w:r>
        <w:t xml:space="preserve">(3) Von der Verkehrsinfrastrukturfinanzierungsgesellschaft nicht verausgabte Mittel nach Absatz 1 werden zusätzlich im jeweils folgenden Haushaltsjahr, spätestens mit dem übernächsten Bundeshaushalt, bereitgestellt. Nicht durch Einnahmen nach Absatz 1 gedeckte Ausgaben sind spätestens im übernächsten Haushaltsjahr einzusparen. Dabei sind die tatsächlichen Ist-Einnahmen und Ist-Ausgaben zu berücksichtigen.</w:t>
      </w:r>
    </w:p>
    <w:p>
      <w:r>
        <w:t xml:space="preserve">(4) Soweit für die Erfüllung der übertragenen haushaltsrechtlichen Aufgaben erforderlich, kann das Bundesministerium für Verkehr und digitale Infrastruktur abweichend von § 1 Absatz 1 Satz 2 und Absatz 2 Satz 2 der Verkehrsinfrastrukturfinanzierungsgesellschaft</w:t>
      </w:r>
    </w:p>
    <w:p>
      <w:pPr>
        <w:ind w:left="420"/>
      </w:pPr>
      <w:r>
        <w:t xml:space="preserve">1. die Befugnis übertragen, Anordnungen zur Annahme oder Leistung von Zahlungen nach § 70 der Bundeshaushaltsordnung zu erteilen, die von den Bundeskassen ausgeführt werden, und</w:t>
      </w:r>
    </w:p>
    <w:p>
      <w:pPr>
        <w:ind w:left="420"/>
      </w:pPr>
      <w:r>
        <w:t xml:space="preserve">2. zur Erfüllung der Aufgaben außerdem die Wahrnehmung des Zahlungsverkehrs als der für Zahlungen zuständigen Stelle übertragen.</w:t>
      </w:r>
    </w:p>
    <w:p>
      <w:r>
        <w:t xml:space="preserve">Die notwendigen Bestimmungen der Bundeshaushaltsordnung und die dazu erlassenen Ausführungsbestimmungen sind entsprechend anzuwenden. Das Nähere wird im Einvernehmen mit dem Bundesministerium der Finanzen bestimmt.</w:t>
      </w:r>
    </w:p>
    <w:p>
      <w:r>
        <w:rPr>
          <w:color w:val="555555"/>
          <w:sz w:val="17"/>
        </w:rPr>
        <w:t xml:space="preserve">Zitiervorschlag: § 2 VIFGG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https://recht.nulegal.eu/gesetze/VIFGG/2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