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VIFGG — Errichtung der Gesellschaft</w:t>
      </w:r>
    </w:p>
    <w:p>
      <w:r>
        <w:rPr>
          <w:color w:val="555555"/>
          <w:sz w:val="18"/>
        </w:rPr>
        <w:t xml:space="preserve">Verkehrsinfrastrukturfinanzierungsgesellschaftsgesetz</w:t>
      </w:r>
    </w:p>
    <w:p>
      <w:r>
        <w:rPr>
          <w:color w:val="555555"/>
          <w:sz w:val="18"/>
        </w:rPr>
        <w:t xml:space="preserve">Historische Fassung: Stand 10.06.2019 bis 14.09.2019. Dies ist nicht die aktuelle Fassung.</w:t>
      </w:r>
    </w:p>
    <w:p>
      <w:r>
        <w:t xml:space="preserve">(1) Das Bundesministerium für Verkehr und digitale Infrastruktur wird ermächtigt, Aufgaben des Bundes der Finanzierung von Neubau, Ausbau, Erhaltung, Betrieb und Unterhaltung von Bundesfernstraßen und Bundeswasserstraßen sowie von Bau, Ausbau und Ersatzinvestitionen der Schienenwege der Eisenbahnen des Bundes einer Gesellschaft des privaten Rechts in der Rechtsform einer Gesellschaft mit beschränkter Haftung zu übertragen. Hoheitliche Befugnisse sind nicht übertragbar. Die Gesellschaft steht im Eigentum des Bundes.</w:t>
      </w:r>
    </w:p>
    <w:p>
      <w:r>
        <w:t xml:space="preserve">(2) Das Bundesministerium für Verkehr und digitale Infrastruktur wird ermächtigt, Aufgaben des Bundes im Zusammenhang mit der Vorbereitung, Durchführung und Abwicklung von Projekten nach dem Fernstraßenbauprivatfinanzierungsgesetz in der Fassung der Bekanntmachung vom 6. Januar 2006 (BGBl. I S. 49) und anderer, vergleichbarer privatwirtschaftlicher Projekte der Verkehrswegeinfrastruktur auf die Gesellschaft zu übertragen. Hoheitliche Befugnisse sind nicht übertragbar.</w:t>
      </w:r>
    </w:p>
    <w:p>
      <w:r>
        <w:rPr>
          <w:color w:val="555555"/>
          <w:sz w:val="17"/>
        </w:rPr>
        <w:t xml:space="preserve">Zitiervorschlag: § 1 VIFGG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https://recht.nulegal.eu/gesetze/VIFGG/1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