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VIERZEHNTER_RUNDFUNKAEND_STV (Brandenburg)</w:t>
      </w:r>
    </w:p>
    <w:p>
      <w:r>
        <w:rPr>
          <w:color w:val="555555"/>
          <w:sz w:val="18"/>
        </w:rPr>
        <w:t xml:space="preserve">Gesetz zu dem Vierzehnten Staatsvertrag zur Änderung rundfunkrechtlicher Staatsverträge (Vierzehnter Rundfunkänderungsstaatsvertrag)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Der Staatsvertrag tritt nach seinem Artikel 4 Absatz 2 Satz 1 am 1. Januar 2011 in Kraft. Sollte der Staatsvertrag nach seinem Artikel 4 Absatz 2 Satz 2 gegenstandslos werden, ist dies unverzüglich im Gesetz- und Verordnungsblatt für das Land Brandenburg Teil I bekannt zu geben.</w:t>
      </w:r>
    </w:p>
    <w:p>
      <w:r>
        <w:t xml:space="preserve">Potsdam, den 20. Dezember 2010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t xml:space="preserve">GVBl. I 2011 Nr. 3 - Bekanntmachung der Gegenstandslosigkeit des Vierzehnten Rundfunkänderungsstaatsvertrages</w:t>
      </w:r>
    </w:p>
    <w:p>
      <w:r>
        <w:rPr>
          <w:color w:val="555555"/>
          <w:sz w:val="17"/>
        </w:rPr>
        <w:t xml:space="preserve">Zitiervorschlag: § 2 VIERZEHNTER_RUNDFUNKAEND_STV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https://recht.nulegal.eu/gesetze/VIERZEHNTER_RUNDFUNKAEND_STV/2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