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VIERTER_RUNDFUNKAEND_STV (Brandenburg)</w:t>
      </w:r>
    </w:p>
    <w:p>
      <w:r>
        <w:rPr>
          <w:color w:val="555555"/>
          <w:sz w:val="18"/>
        </w:rPr>
        <w:t xml:space="preserve">Gesetz zu dem Vierten Staatsvertrag zur Änderung rundfunkrechtlicher Staatsverträge (Vierter Rundfunkänderungsstaatsvertrag)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am 31. August 1999 unterzeichneten Vierten Staatsvertrag zur Änderung rundfunkrechtlicher Staatsverträge (Vierter Rundfunkänderungsstaatsvertrag) wird zugestimmt. Der Staatsvertrag wird nachstehend veröffentlicht.</w:t>
      </w:r>
    </w:p>
    <w:p>
      <w:r>
        <w:rPr>
          <w:color w:val="555555"/>
          <w:sz w:val="17"/>
        </w:rPr>
        <w:t xml:space="preserve">Zitiervorschlag: § 1 VIERTER_RUNDFUNKAEND_STV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https://recht.nulegal.eu/gesetze/VIERTER_RUNDFUNKAEND_STV/1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