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VIBBestV</w:t>
      </w:r>
    </w:p>
    <w:p>
      <w:r>
        <w:rPr>
          <w:color w:val="555555"/>
          <w:sz w:val="18"/>
        </w:rPr>
        <w:t xml:space="preserve">Vermögensanlagen-Informationsblatt-Bestätigungsverordnung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 Absatz 5 des Vermögensanlagengesetzes, der durch Artikel 2 Nummer 16 Buchstabe b des Gesetzes vom 3. Juli 2015 (BGBl. I S. 1114) eingefügt worden ist, verordnet das Bundesministerium der Finanzen im Einvernehmen mit dem Bundesministerium der Justiz und für Verbraucherschutz:</w:t>
      </w:r>
    </w:p>
    <w:p>
      <w:r>
        <w:rPr>
          <w:color w:val="555555"/>
          <w:sz w:val="17"/>
        </w:rPr>
        <w:t xml:space="preserve">Zitiervorschlag: Eingangsformel VIBBestV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https://recht.nulegal.eu/gesetze/VIBBestV/eingangsformel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