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VIBBestV — Inkrafttreten</w:t>
      </w:r>
    </w:p>
    <w:p>
      <w:r>
        <w:rPr>
          <w:color w:val="555555"/>
          <w:sz w:val="18"/>
        </w:rPr>
        <w:t xml:space="preserve">Vermögensanlagen-Informationsblatt-Bestätigungsverordnung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VIBBestV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https://recht.nulegal.eu/gesetze/VIBBestV/3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