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8 VGemO (Bayern) — Deckung des Finanzbedarfs</w:t>
      </w:r>
    </w:p>
    <w:p>
      <w:r>
        <w:rPr>
          <w:color w:val="555555"/>
          <w:sz w:val="18"/>
        </w:rPr>
        <w:t xml:space="preserve">Verwaltungsgemeinschaftsordnung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Die Verwaltungsgemeinschaft erhebt von ihren Mitgliedsgemeinden eine Umlage, soweit ihre sonstigen Einnahmen nicht ausreichen, um ihren Finanzbedarf zu decken. Die Umlage wird für die Aufgaben nach Art. 4 Abs. 1 und 2 nach dem Verhältnis der Einwohnerzahl der Mitgliedsgemeinden bemessen; maßgebend ist die auf der Grundlage der letzten Volkszählung fortgeschriebene Einwohnerzahl nach dem Stand vom 30. Juni des vorausgegangenen Jahres. Durch einstimmigen Beschluß der Gemeinschaftsversammlung kann eine andere Regelung getroffen werden. Die Regierung soll für die Bemessung der Umlage ein anderes Verhältnis festlegen oder die Umlage für eine oder mehrere Mitgliedsgemeinden abweichend von Satz 2 festsetzen, wenn das erforderlich ist, um eine unbillige Härte zu vermeiden. Der Kostenersatz für die Wahrnehmung der Aufgaben nach Art. 4 Abs. 3 und 4 Satz 2 bleibt der besonderen Regelung in der Zweckvereinbarung vorbehalten. In den Fällen des Art. 4 Abs. 4 Sätze 1 und 3 verbleibt es bei der bisherigen Kostenregelung, soweit sie nicht durch Beschluß der Gemeinschaftsversammlung mit den Stimmenzahlen der Mitglieder des früheren Verbands aufgehoben wird.</w:t>
      </w:r>
    </w:p>
    <w:p>
      <w:r>
        <w:t xml:space="preserve">(2) Die Verwaltungsgemeinschaft ist verpflichtet, eine Haushaltssatzung zu erlassen. Die Höhe der Umlage ist für jedes Rechnungsjahr durch Beschluß der Gemeinschaftsversammlung in der Haushaltssatzung festzusetzen.</w:t>
      </w:r>
    </w:p>
    <w:p>
      <w:r>
        <w:rPr>
          <w:color w:val="555555"/>
          <w:sz w:val="17"/>
        </w:rPr>
        <w:t xml:space="preserve">Zitiervorschlag: Art 8 VGemO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https://recht.nulegal.eu/gesetze/VGemO/8</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