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VGemO (Bayern) — Bedienstete der Verwaltungsgemeinschaft</w:t>
      </w:r>
    </w:p>
    <w:p>
      <w:r>
        <w:rPr>
          <w:color w:val="555555"/>
          <w:sz w:val="18"/>
        </w:rPr>
        <w:t xml:space="preserve">Verwaltungsgemeinschaftsordnung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Verwaltungsgemeinschaft stellt das fachlich geeignete Verwaltungspersonal an, das erforderlich ist, um den ordnungsmäßigen Gang der Geschäfte zu gewährleisten. Unbeschadet der Verpflichtung nach Satz 1 soll die Verwaltungsgemeinschaft mindestens eine Beamtin oder einen Beamten haben, die oder der in der Fachlaufbahn Verwaltung und Finanzen, fachlicher Schwerpunkt nichttechnischer Verwaltungsdienst, für ein Amt ab der Besoldungsgruppe A 10 qualifiziert ist.</w:t>
      </w:r>
    </w:p>
    <w:p>
      <w:r>
        <w:t xml:space="preserve">(2) Die oder der Gemeinschaftsvorsitzende kann dem Leiter der Geschäftsstelle laufende Angelegenheiten zur selbständigen Erledigung übertragen. Der Leiter der Geschäftsstelle nimmt an den Sitzungen der Gemeinschaftsversammlung beratend teil.</w:t>
      </w:r>
    </w:p>
    <w:p>
      <w:r>
        <w:rPr>
          <w:color w:val="555555"/>
          <w:sz w:val="17"/>
        </w:rPr>
        <w:t xml:space="preserve">Zitiervorschlag: Art 7 VGemO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https://recht.nulegal.eu/gesetze/VGemO/7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