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VGemO (Bayern) — Bestimmung von Name und Sitz</w:t>
      </w:r>
    </w:p>
    <w:p>
      <w:r>
        <w:rPr>
          <w:color w:val="555555"/>
          <w:sz w:val="18"/>
        </w:rPr>
        <w:t xml:space="preserve">Verwaltungsgemeinschaftsordnung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Name und Sitz einer neuen Verwaltungsgemeinschaft werden durch Rechtsverordnung der Regierung bestimmt, sofern das nach Art. 2 Abs. 3 erlassene Gesetz dazu nichts bestimmt.</w:t>
      </w:r>
    </w:p>
    <w:p>
      <w:r>
        <w:t xml:space="preserve">(2) Die Regierung kann durch Rechtsverordnung nach Anhörung der Verwaltungsgemeinschaft deren Namen und Sitz ändern. Die Namensänderung setzt ein öffentliches Bedürfnis, die Sitzänderung ein dringendes öffentliches Bedürfnis voraus.</w:t>
      </w:r>
    </w:p>
    <w:p>
      <w:r>
        <w:rPr>
          <w:color w:val="555555"/>
          <w:sz w:val="17"/>
        </w:rPr>
        <w:t xml:space="preserve">Zitiervorschlag: Art 3 VGemO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https://recht.nulegal.eu/gesetze/VGemO/3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