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VGemO (Bayern) — Bekanntmachung; Anwendung des Gesetzes über die kommunale Zusammenarbeit</w:t>
      </w:r>
    </w:p>
    <w:p>
      <w:r>
        <w:rPr>
          <w:color w:val="555555"/>
          <w:sz w:val="18"/>
        </w:rPr>
        <w:t xml:space="preserve">Verwaltungsgemeinschaftsordnung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Rechtsvorschriften der Verwaltungsgemeinschaft sind im Amtsblatt der Verwaltungsgemeinschaft amtlich bekanntzumachen. Unterhält die Verwaltungsgemeinschaft kein Amtsblatt, so sind die Rechtsvorschriften im Amtsblatt des Landkreises oder des Landratsamts, sonst in regelmäßig erscheinenden Druckwerken amtlich bekanntzumachen. Die amtliche Bekanntmachung kann auch dadurch bewirkt werden, dass die Rechtsvorschrift in der Geschäftsstelle der Verwaltungsgemeinschaft niedergelegt und die Niederlegung digital über das Internet, durch Anschlag oder Anzeige an den für öffentliche Bekanntmachungen allgemein bestimmten Stellen, auf einer öffentlichen Internetseite der Verwaltungsgemeinschaft oder durch Mitteilung in einer Tageszeitung bekanntgegeben wird; diese Form der Bekanntmachung ist nur zulässig, wenn sämtliche Mitgliedsgemeinden dieselbe Art der Bekanntmachung gewählt haben. Für die öffentliche Bekanntmachung von Verwaltungsakten, Ladungen und sonstigen Mitteilungen gilt Art. 27 Abs. 2 GO entsprechend.</w:t>
      </w:r>
    </w:p>
    <w:p>
      <w:r>
        <w:t xml:space="preserve">(2) Soweit nichts anderes bestimmt ist, gelten für die Verwaltungsgemeinschaft die Bestimmungen des Gesetzes über die kommunale Zusammenarbeit entsprechend.</w:t>
      </w:r>
    </w:p>
    <w:p>
      <w:r>
        <w:rPr>
          <w:color w:val="555555"/>
          <w:sz w:val="17"/>
        </w:rPr>
        <w:t xml:space="preserve">Zitiervorschlag: Art 10 VGemO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https://recht.nulegal.eu/gesetze/VGemO/10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