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VGG — Zurücknahme des Antrags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Antragsteller kann den Antrag zurücknehmen, ohne Einwilligung des Antragsgegners in Verfahren mit mündlicher Verhandlung jedoch nur bis zu deren Beginn.</w:t>
      </w:r>
    </w:p>
    <w:p>
      <w:r>
        <w:t xml:space="preserve">(2) Wird der Antrag zurückgenommen, so trägt der Antragsteller die Kosten des Verfahrens und die notwendigen Auslagen des Antragsgegners.</w:t>
      </w:r>
    </w:p>
    <w:p>
      <w:r>
        <w:rPr>
          <w:color w:val="555555"/>
          <w:sz w:val="17"/>
        </w:rPr>
        <w:t xml:space="preserve">Zitiervorschlag: § 98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