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VGG — Verfahrenseinleitender Antrag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Schiedsstelle wird durch schriftlichen Antrag angerufen. Er muss zumindest den Namen und die Anschrift des Antragsgegners sowie eine Darstellung des Sachverhalts enthalten. Er soll in zwei Exemplaren eingereicht werden.</w:t>
      </w:r>
    </w:p>
    <w:p>
      <w:r>
        <w:t xml:space="preserve">(2) Die Schiedsstelle stellt dem Antragsgegner den Antrag mit der Aufforderung zu, sich innerhalb eines Monats schriftlich zu äußern.</w:t>
      </w:r>
    </w:p>
    <w:p>
      <w:r>
        <w:rPr>
          <w:color w:val="555555"/>
          <w:sz w:val="17"/>
        </w:rPr>
        <w:t xml:space="preserve">Zitiervorschlag: § 97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