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95 VGG — Allgemeine Verfahrensregeln</w:t>
      </w:r>
    </w:p>
    <w:p>
      <w:r>
        <w:rPr>
          <w:color w:val="555555"/>
          <w:sz w:val="18"/>
        </w:rPr>
        <w:t xml:space="preserve">Verwertungsgesellschaftengesetz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Soweit dieses Gesetz keine abweichenden Regelungen enthält, bestimmt die Schiedsstelle das Verfahren nach billigem Ermessen. Sie wirkt jederzeit auf eine sachgerechte Beschleunigung des Verfahrens hin.</w:t>
      </w:r>
    </w:p>
    <w:p>
      <w:r>
        <w:t xml:space="preserve">(2) Die Beteiligten sind gleichzubehandeln. Jedem Beteiligten ist rechtliches Gehör zu gewähren.</w:t>
      </w:r>
    </w:p>
    <w:p>
      <w:r>
        <w:rPr>
          <w:color w:val="555555"/>
          <w:sz w:val="17"/>
        </w:rPr>
        <w:t xml:space="preserve">Zitiervorschlag: § 95 VGG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https://recht.nulegal.eu/gesetze/VGG/95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