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VGG — Zuständigkeit für Streitfälle nach dem Urheberrechtsgesetz und für Gesamtverträge</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Die Schiedsstelle (§ 124) kann von jedem Beteiligten bei einem Streitfall angerufen werden, an dem eine Verwertungsgesellschaft beteiligt ist und der eine der folgenden Angelegenheiten betrifft:</w:t>
      </w:r>
    </w:p>
    <w:p>
      <w:pPr>
        <w:ind w:left="420"/>
      </w:pPr>
      <w:r>
        <w:t xml:space="preserve">1. die Nutzung von Werken oder Leistungen, die nach dem Urheberrechtsgesetz geschützt sind,</w:t>
      </w:r>
    </w:p>
    <w:p>
      <w:pPr>
        <w:ind w:left="420"/>
      </w:pPr>
      <w:r>
        <w:t xml:space="preserve">2. die Vergütungspflicht für Geräte und Speichermedien nach § 54 des Urheberrechtsgesetzes oder die Betreibervergütung nach § 54c des Urheberrechtsgesetzes,</w:t>
      </w:r>
    </w:p>
    <w:p>
      <w:pPr>
        <w:ind w:left="420"/>
      </w:pPr>
      <w:r>
        <w:t xml:space="preserve">3. den Abschluss oder die Änderung eines Gesamtvertrags.</w:t>
      </w:r>
    </w:p>
    <w:p>
      <w:r>
        <w:t xml:space="preserve">(2) Die Schiedsstelle kann von jedem Beteiligten auch bei einem Streitfall angerufen werden, an dem ein Sendeunternehmen und ein Weitersendedienst beteiligt sind, wenn der Streit die Verpflichtung zum Abschluss eines Vertrages über die Weitersendung betrifft (§ 87 Absatz 5 des Urheberrechtsgesetzes).</w:t>
      </w:r>
    </w:p>
    <w:p>
      <w:r>
        <w:rPr>
          <w:color w:val="555555"/>
          <w:sz w:val="17"/>
        </w:rPr>
        <w:t xml:space="preserve">Zitiervorschlag: § 92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