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VGG — Aufsicht über abhängige Verwertungseinrichtungen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abhängige Verwertungseinrichtung (§ 3) bedarf der Erlaubnis nur, wenn sie die in § 77 Absatz 2 genannten Rechte wahrnimmt. Das gilt nicht, wenn alle Verwertungsgesellschaften, die Anteile an dieser Einrichtung halten oder sie beherrschen, über eine Erlaubnis verfügen.</w:t>
      </w:r>
    </w:p>
    <w:p>
      <w:r>
        <w:t xml:space="preserve">(2) Die abhängige Verwertungseinrichtung hat der Aufsichtsbehörde die Aufnahme einer Wahrnehmungstätigkeit unverzüglich schriftlich anzuzeigen, wenn sie keiner Erlaubnis bedarf und</w:t>
      </w:r>
    </w:p>
    <w:p>
      <w:pPr>
        <w:ind w:left="420"/>
      </w:pPr>
      <w:r>
        <w:t xml:space="preserve">1. Urheberrechte oder verwandte Schutzrechte wahrnimmt, die sich aus dem Urheberrechtsgesetz ergeben, oder</w:t>
      </w:r>
    </w:p>
    <w:p>
      <w:pPr>
        <w:ind w:left="420"/>
      </w:pPr>
      <w:r>
        <w:t xml:space="preserve">2. ihren Sitz im Inland hat und in einem anderen Mitgliedstaat der Europäischen Union oder anderen Vertragsstaat des Abkommens über den Europäischen Wirtschaftsraum tätig ist.</w:t>
      </w:r>
    </w:p>
    <w:p>
      <w:r>
        <w:t xml:space="preserve">(3) Im Übrigen gelten für die abhängige Verwertungseinrichtung die Vorschriften dieses Teils entsprechend.</w:t>
      </w:r>
    </w:p>
    <w:p>
      <w:r>
        <w:rPr>
          <w:color w:val="555555"/>
          <w:sz w:val="17"/>
        </w:rPr>
        <w:t xml:space="preserve">Zitiervorschlag: § 90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