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VGG — Wahrnehmungszwang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ist verpflichtet, auf Verlangen des Rechtsinhabers Rechte seiner Wahl an Arten von Werken und sonstigen Schutzgegenständen seiner Wahl in Gebieten seiner Wahl wahrzunehmen, wenn</w:t>
      </w:r>
    </w:p>
    <w:p>
      <w:pPr>
        <w:ind w:left="420"/>
      </w:pPr>
      <w:r>
        <w:t xml:space="preserve">1. die Rechte, die Werke und sonstigen Schutzgegenstände sowie die Gebiete zum Tätigkeitsbereich der Verwertungsgesellschaft gehören und</w:t>
      </w:r>
    </w:p>
    <w:p>
      <w:pPr>
        <w:ind w:left="420"/>
      </w:pPr>
      <w:r>
        <w:t xml:space="preserve">2. der Wahrnehmung keine objektiven Gründe entgegenstehen.</w:t>
      </w:r>
    </w:p>
    <w:p>
      <w:r>
        <w:t xml:space="preserve">Die Bedingungen, zu denen die Verwertungsgesellschaft die Rechte des Berechtigten wahrnimmt (Wahrnehmungsbedingungen), müssen angemessen sein.</w:t>
      </w:r>
    </w:p>
    <w:p>
      <w:r>
        <w:rPr>
          <w:color w:val="555555"/>
          <w:sz w:val="17"/>
        </w:rPr>
        <w:t xml:space="preserve">Zitiervorschlag: § 9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