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VGG — Unterrichtungspflicht der Verwertungsgesellschaft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die Urheberrechte oder verwandte Schutzrechte wahrnimmt, die sich aus dem Urheberrechtsgesetz ergeben, zeigt der Aufsichtsbehörde unverzüglich jeden Wechsel der nach Gesetz oder Statut zu ihrer Vertretung berechtigten Personen an.</w:t>
      </w:r>
    </w:p>
    <w:p>
      <w:r>
        <w:t xml:space="preserve">(2) Die Verwertungsgesellschaft, die Urheberrechte oder verwandte Schutzrechte wahrnimmt, die sich aus dem Urheberrechtsgesetz ergeben, übermittelt der Aufsichtsbehörde unverzüglich abschriftlich</w:t>
      </w:r>
    </w:p>
    <w:p>
      <w:pPr>
        <w:ind w:left="420"/>
      </w:pPr>
      <w:r>
        <w:t xml:space="preserve">1. das Statut und dessen Änderung,</w:t>
      </w:r>
    </w:p>
    <w:p>
      <w:pPr>
        <w:ind w:left="420"/>
      </w:pPr>
      <w:r>
        <w:t xml:space="preserve">2. die Tarife, die Standardvergütungssätze und die Standardnutzungsverträge sowie deren Änderung,</w:t>
      </w:r>
    </w:p>
    <w:p>
      <w:pPr>
        <w:ind w:left="420"/>
      </w:pPr>
      <w:r>
        <w:t xml:space="preserve">3. die Gesamtverträge und deren Änderung,</w:t>
      </w:r>
    </w:p>
    <w:p>
      <w:pPr>
        <w:ind w:left="420"/>
      </w:pPr>
      <w:r>
        <w:t xml:space="preserve">4. die Repräsentationsvereinbarungen und deren Änderung,</w:t>
      </w:r>
    </w:p>
    <w:p>
      <w:pPr>
        <w:ind w:left="420"/>
      </w:pPr>
      <w:r>
        <w:t xml:space="preserve">5. die Beschlüsse der Mitgliederhauptversammlung, des Aufsichtsrats, des Verwaltungsrats, des Aufsichtsgremiums sowie des Gremiums, in dem die Berechtigten, die nicht Mitglied sind, gemäß § 20 Absatz 2 Nummer 4 stimmberechtigt mitwirken, und aller Ausschüsse dieser Gremien,</w:t>
      </w:r>
    </w:p>
    <w:p>
      <w:pPr>
        <w:ind w:left="420"/>
      </w:pPr>
      <w:r>
        <w:t xml:space="preserve">6. die Anlagerichtlinie und deren Änderung sowie die Bestätigung des Wirtschaftsprüfers oder der Wirtschaftsprüfervereinigung gemäß § 25 Absatz 3,</w:t>
      </w:r>
    </w:p>
    <w:p>
      <w:pPr>
        <w:ind w:left="420"/>
      </w:pPr>
      <w:r>
        <w:t xml:space="preserve">7. den Jahresabschluss, den Lagebericht, den Prüfungsbericht und den jährlichen Transparenzbericht sowie</w:t>
      </w:r>
    </w:p>
    <w:p>
      <w:pPr>
        <w:ind w:left="420"/>
      </w:pPr>
      <w:r>
        <w:t xml:space="preserve">8. die Entscheidungen in gerichtlichen oder behördlichen Verfahren, in denen die Verwertungsgesellschaft Partei ist, soweit die Aufsichtsbehörde dies verlangt.</w:t>
      </w:r>
    </w:p>
    <w:p>
      <w:r>
        <w:t xml:space="preserve">(3) Die Absätze 1 und 2 gelten nicht für eine Verwertungsgesellschaft mit Sitz in einem anderen Mitgliedstaat der Europäischen Union oder anderen Vertragsstaat des Abkommens über den Europäischen Wirtschaftsraum.</w:t>
      </w:r>
    </w:p>
    <w:p>
      <w:r>
        <w:rPr>
          <w:color w:val="555555"/>
          <w:sz w:val="17"/>
        </w:rPr>
        <w:t xml:space="preserve">Zitiervorschlag: § 88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