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VGG — Informationsaustausch mit Aufsichtsbehörden anderer Mitgliedstaaten der Europäischen Union oder anderer Vertragsstaaten des Abkommens über den Europäischen Wirtschaftsraum</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Aufsichtsbehörde beantwortet ein begründetes Auskunftsersuchen der Aufsichtsbehörde eines anderen Mitgliedstaates der Europäischen Union oder anderen Vertragsstaates des Abkommens über den Europäischen Wirtschaftsraum, das im Zusammenhang mit einer in Umsetzung der Richtlinie 2014/26/EU erlassenen Vorschrift dieses Gesetzes steht, unverzüglich.</w:t>
      </w:r>
    </w:p>
    <w:p>
      <w:r>
        <w:t xml:space="preserve">(2) Die Aufsichtsbehörde reagiert auf ein Ersuchen der Aufsichtsbehörde eines anderen Mitgliedstaates der Europäischen Union oder anderen Vertragsstaates des Abkommens über den Europäischen Wirtschaftsraum, Maßnahmen gegen eine im Inland ansässige Verwertungsgesellschaft wegen ihrer Tätigkeit in diesem Mitgliedstaat oder Vertragsstaat zu ergreifen, binnen drei Monaten mit einer begründeten Antwort.</w:t>
      </w:r>
    </w:p>
    <w:p>
      <w:r>
        <w:rPr>
          <w:color w:val="555555"/>
          <w:sz w:val="17"/>
        </w:rPr>
        <w:t xml:space="preserve">Zitiervorschlag: § 87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