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79 VGG — Versagung der Erlaubnis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Erlaubnis nach § 77 Absatz 1 darf nur versagt werden, wenn</w:t>
      </w:r>
    </w:p>
    <w:p>
      <w:pPr>
        <w:ind w:left="420"/>
      </w:pPr>
      <w:r>
        <w:t xml:space="preserve">1. das Statut der Verwertungsgesellschaft nicht den Vorschriften dieses Gesetzes entspricht,</w:t>
      </w:r>
    </w:p>
    <w:p>
      <w:pPr>
        <w:ind w:left="420"/>
      </w:pPr>
      <w:r>
        <w:t xml:space="preserve">2. Tatsachen die Annahme rechtfertigen, dass eine nach Gesetz oder Statut zur Vertretung der Verwertungsgesellschaft berechtigte Person die für die Ausübung ihrer Tätigkeit erforderliche Zuverlässigkeit nicht besitzt, oder</w:t>
      </w:r>
    </w:p>
    <w:p>
      <w:pPr>
        <w:ind w:left="420"/>
      </w:pPr>
      <w:r>
        <w:t xml:space="preserve">3. die wirtschaftliche Grundlage der Verwertungsgesellschaft eine wirksame Wahrnehmung der Rechte nicht erwarten lässt.</w:t>
      </w:r>
    </w:p>
    <w:p>
      <w:r>
        <w:t xml:space="preserve">(2) Für die Erlaubnis nach § 77 Absatz 2 gilt Absatz 1 entsprechend; die Versagungsgründe nach Absatz 1 Nummer 1 und 2 sind nicht anzuwenden.</w:t>
      </w:r>
    </w:p>
    <w:p>
      <w:r>
        <w:rPr>
          <w:color w:val="555555"/>
          <w:sz w:val="17"/>
        </w:rPr>
        <w:t xml:space="preserve">Zitiervorschlag: § 79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https://recht.nulegal.eu/gesetze/VGG/79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