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VGG — Erlaubnis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Eine Verwertungsgesellschaft bedarf der Erlaubnis, wenn sie Urheberrechte oder verwandte Schutzrechte wahrnimmt, die sich aus dem Urheberrechtsgesetz ergeben.</w:t>
      </w:r>
    </w:p>
    <w:p>
      <w:r>
        <w:t xml:space="preserve">(2) Eine Verwertungsgesellschaft mit Sitz in einem anderen Mitgliedstaat der Europäischen Union oder anderen Vertragsstaat des Abkommens über den Europäischen Wirtschaftsraum bedarf abweichend von Absatz 1 einer Erlaubnis nur für die Wahrnehmung</w:t>
      </w:r>
    </w:p>
    <w:p>
      <w:pPr>
        <w:ind w:left="420"/>
      </w:pPr>
      <w:r>
        <w:t xml:space="preserve">1. der in § 49 Absatz 1 genannten Vergütungsansprüche,</w:t>
      </w:r>
    </w:p>
    <w:p>
      <w:pPr>
        <w:ind w:left="420"/>
      </w:pPr>
      <w:r>
        <w:t xml:space="preserve">2. des in § 50 genannten Rechts oder</w:t>
      </w:r>
    </w:p>
    <w:p>
      <w:pPr>
        <w:ind w:left="420"/>
      </w:pPr>
      <w:r>
        <w:t xml:space="preserve">3. der in den §§ 51 und 52 genannten Rechte von Außenstehenden.</w:t>
      </w:r>
    </w:p>
    <w:p>
      <w:r>
        <w:rPr>
          <w:color w:val="555555"/>
          <w:sz w:val="17"/>
        </w:rPr>
        <w:t xml:space="preserve">Zitiervorschlag: § 77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