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VGG — Wahrnehmung bei Repräsentation</w:t>
      </w:r>
    </w:p>
    <w:p>
      <w:r>
        <w:rPr>
          <w:color w:val="555555"/>
          <w:sz w:val="18"/>
        </w:rPr>
        <w:t xml:space="preserve">Verwertungsgesellschaftengesetz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beauftragte Verwertungsgesellschaft nimmt die Online-Rechte an den Musikwerken der beauftragenden Verwertungsgesellschaft zu denselben Bedingungen wahr, wie die Online-Rechte ihrer Berechtigten.</w:t>
      </w:r>
    </w:p>
    <w:p>
      <w:r>
        <w:t xml:space="preserve">(2) Die beauftragte Verwertungsgesellschaft nimmt die Musikwerke der beauftragenden Verwertungsgesellschaft in alle Angebote auf, die sie an den Anbieter eines Online-Dienstes richtet.</w:t>
      </w:r>
    </w:p>
    <w:p>
      <w:r>
        <w:t xml:space="preserve">(3) Verwaltungskosten dürfen die Kosten nicht übersteigen, die der beauftragten Verwertungsgesellschaft vernünftigerweise entstanden sind.</w:t>
      </w:r>
    </w:p>
    <w:p>
      <w:r>
        <w:rPr>
          <w:color w:val="555555"/>
          <w:sz w:val="17"/>
        </w:rPr>
        <w:t xml:space="preserve">Zitiervorschlag: § 73 VGG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