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VGG — Abrechnung gegenüber Anbietern von Online-Diensten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Verwertungsgesellschaft rechnet gegenüber dem Anbieter eines Online-Dienstes nach dessen Meldung der tatsächlichen Nutzung der Musikwerke unverzüglich ab, es sei denn, dies ist aus Gründen, die dem Anbieter des Online-Dienstes zuzurechnen sind, nicht möglich.</w:t>
      </w:r>
    </w:p>
    <w:p>
      <w:r>
        <w:t xml:space="preserve">(2) Die Verwertungsgesellschaft rechnet elektronisch ab. Sie bietet dabei mindestens ein Abrechnungsformat an, das freiwilligen branchenüblichen und auf internationaler Ebene entwickelten Standards und Praktiken entspricht.</w:t>
      </w:r>
    </w:p>
    <w:p>
      <w:r>
        <w:t xml:space="preserve">(3) Der Anbieter eines Online-Dienstes kann die Annahme einer Abrechnung aufgrund ihres Formats nicht ablehnen, wenn die Abrechnung einem nach Absatz 2 Satz 2 angebotenen Abrechnungsformat entspricht.</w:t>
      </w:r>
    </w:p>
    <w:p>
      <w:r>
        <w:t xml:space="preserve">(4) Bei der Abrechnung sind auf Grundlage der Daten nach § 61 Absatz 2 die Werke und Online-Rechte sowie deren tatsächliche Nutzung anzugeben, soweit dies auf der Grundlage der Meldung möglich ist.</w:t>
      </w:r>
    </w:p>
    <w:p>
      <w:r>
        <w:t xml:space="preserve">(5) Die Verwertungsgesellschaft sieht geeignete Regelungen vor, nach denen der Anbieter eines Online-Dienstes die Abrechnung beanstanden kann.</w:t>
      </w:r>
    </w:p>
    <w:p>
      <w:r>
        <w:rPr>
          <w:color w:val="555555"/>
          <w:sz w:val="17"/>
        </w:rPr>
        <w:t xml:space="preserve">Zitiervorschlag: § 67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