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VGG — Elektronische Nutzungsmeldung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ermöglicht dem Anbieter eines Online-Dienstes, elektronisch die Nutzung von Musikwerken zu melden. Sie bietet dabei mindestens eine Meldemethode an, die freiwilligen branchenüblichen und auf internationaler Ebene entwickelten Standards und Praktiken für den elektronischen Datenaustausch entspricht.</w:t>
      </w:r>
    </w:p>
    <w:p>
      <w:r>
        <w:t xml:space="preserve">(2) Die Verwertungsgesellschaft kann eine Meldung ablehnen, wenn sie nicht einer nach Absatz 1 Satz 2 angebotenen Meldemethode entspricht.</w:t>
      </w:r>
    </w:p>
    <w:p>
      <w:r>
        <w:rPr>
          <w:color w:val="555555"/>
          <w:sz w:val="17"/>
        </w:rPr>
        <w:t xml:space="preserve">Zitiervorschlag: § 66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