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VGG — Elektronische Übermittlung von Informationen</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Verwertungsgesellschaft ermöglicht jedem Berechtigten, elektronisch Informationen zu seinen Musikwerken und zu Online-Rechten an diesen Werken sowie zu den Gebieten zu übermitteln, für die er die Verwertungsgesellschaft mit der Wahrnehmung beauftragt hat. Dabei berücksichtigen die Verwertungsgesellschaft und die Berechtigten so weit wie möglich die freiwilligen branchenüblichen Standards und Praktiken für den Datenaustausch, die auf internationaler Ebene entwickelt wurden.</w:t>
      </w:r>
    </w:p>
    <w:p>
      <w:r>
        <w:t xml:space="preserve">(2) Im Rahmen von Repräsentationsvereinbarungen gilt Absatz 1 auch für die Berechtigten der beauftragenden Verwertungsgesellschaft, soweit die Verwertungsgesellschaften keine abweichende Vereinbarung treffen.</w:t>
      </w:r>
    </w:p>
    <w:p>
      <w:r>
        <w:rPr>
          <w:color w:val="555555"/>
          <w:sz w:val="17"/>
        </w:rPr>
        <w:t xml:space="preserve">Zitiervorschlag: § 64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