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VGG — Berichtigung der Informationen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Verwertungsgesellschaft verfügt über Regelungen, wonach Anbieter von Online-Diensten, Rechtsinhaber und andere Verwertungsgesellschaften die Berichtigung der Daten, auf die in § 61 Absatz 2 Bezug genommen wird, und die Berichtigung der Informationen nach § 62 Absatz 1 beantragen können.</w:t>
      </w:r>
    </w:p>
    <w:p>
      <w:r>
        <w:t xml:space="preserve">(2) Ist ein Antrag begründet, berichtigt die Verwertungsgesellschaft die Daten oder die Informationen unverzüglich.</w:t>
      </w:r>
    </w:p>
    <w:p>
      <w:r>
        <w:rPr>
          <w:color w:val="555555"/>
          <w:sz w:val="17"/>
        </w:rPr>
        <w:t xml:space="preserve">Zitiervorschlag: § 63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