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VGG — Besondere Anforderungen an Verwertungsgesellschaften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Verwertungsgesellschaft muss über ausreichende Kapazitäten verfügen, um die Daten, die für die Verwaltung von gebietsübergreifend vergebenen Online-Rechten an Musikwerken erforderlich sind, effizient und transparent elektronisch verarbeiten zu können.</w:t>
      </w:r>
    </w:p>
    <w:p>
      <w:r>
        <w:t xml:space="preserve">(2) Die Verwertungsgesellschaft muss insbesondere</w:t>
      </w:r>
    </w:p>
    <w:p>
      <w:pPr>
        <w:ind w:left="420"/>
      </w:pPr>
      <w:r>
        <w:t xml:space="preserve">1. jedes Musikwerk, an dem sie Online-Rechte wahrnimmt, korrekt bestimmen können;</w:t>
      </w:r>
    </w:p>
    <w:p>
      <w:pPr>
        <w:ind w:left="420"/>
      </w:pPr>
      <w:r>
        <w:t xml:space="preserve">2. für jedes Musikwerk und jeden Teil eines Musikwerks, an dem sie Online-Rechte wahrnimmt, die Online-Rechte, und zwar vollständig oder teilweise und in Bezug auf jedes umfasste Gebiet, sowie den zugehörigen Rechtsinhaber bestimmen können;</w:t>
      </w:r>
    </w:p>
    <w:p>
      <w:pPr>
        <w:ind w:left="420"/>
      </w:pPr>
      <w:r>
        <w:t xml:space="preserve">3. eindeutige Kennungen verwenden, um Rechtsinhaber und Musikwerke zu bestimmen, unter möglichst weitgehender Berücksichtigung der freiwilligen branchenüblichen Standards und Praktiken, die auf internationaler Ebene entwickelt wurden;</w:t>
      </w:r>
    </w:p>
    <w:p>
      <w:pPr>
        <w:ind w:left="420"/>
      </w:pPr>
      <w:r>
        <w:t xml:space="preserve">4. geeignete Mittel verwenden, um Unstimmigkeiten in den Daten anderer Verwertungsgesellschaften, die gebietsübergreifend Online-Rechte an Musikwerken vergeben, unverzüglich und wirksam erkennen und klären zu können.</w:t>
      </w:r>
    </w:p>
    <w:p>
      <w:r>
        <w:rPr>
          <w:color w:val="555555"/>
          <w:sz w:val="17"/>
        </w:rPr>
        <w:t xml:space="preserve">Zitiervorschlag: § 61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