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VGG — Nicht anwendbare Vorschriften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Verhältnis zum Rechtsinhaber ist § 9 Satz 2 nicht anzuwenden.</w:t>
      </w:r>
    </w:p>
    <w:p>
      <w:r>
        <w:t xml:space="preserve">(2) Im Verhältnis zum Nutzer sind § 34 Absatz 1 Satz 1 sowie die §§ 35, 37 und 38 nicht anzuwenden. Für die Vergütung, die die Verwertungsgesellschaft aufgrund der von ihr wahrgenommenen Rechte fordert, gilt § 39 entsprechend.</w:t>
      </w:r>
    </w:p>
    <w:p>
      <w:r>
        <w:rPr>
          <w:color w:val="555555"/>
          <w:sz w:val="17"/>
        </w:rPr>
        <w:t xml:space="preserve">Zitiervorschlag: § 60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